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37" w:rsidRPr="00EB7437" w:rsidRDefault="00EB7437" w:rsidP="00D64545">
      <w:pPr>
        <w:shd w:val="clear" w:color="auto" w:fill="FFFFFF"/>
        <w:spacing w:before="810" w:after="39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hr-HR"/>
        </w:rPr>
        <w:t>Opća uredba o zaštiti podataka (GDPR)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EB7437" w:rsidRPr="00EB7437" w:rsidRDefault="00EB7437" w:rsidP="00D64545">
      <w:p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SAŽETAK DOKUMENTA: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hyperlink r:id="rId7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Uredba (EU) 2016/679 o zaštiti pojedinaca u vezi s obradom osobnih podataka i o slobodnom kretanju takvih podataka</w:t>
        </w:r>
      </w:hyperlink>
    </w:p>
    <w:p w:rsidR="00EB7437" w:rsidRPr="00EB7437" w:rsidRDefault="00EB7437" w:rsidP="00D64545">
      <w:p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ČEMU SLUŽI OVA UREDBA?</w:t>
      </w:r>
    </w:p>
    <w:p w:rsidR="00EB7437" w:rsidRPr="00EB7437" w:rsidRDefault="00EB7437" w:rsidP="00D64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Opća uredba o zaštiti podataka (GDPR) štiti pojedince kada njihove podatke obrađuje privatni sektor i veći dio javnog sektora. Za razliku od toga, obrada podataka koju vrše relevantna tijela u svrhe izvršavanja zakonodavstva podliježe </w:t>
      </w:r>
      <w:hyperlink r:id="rId8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direktivi o zaštiti podataka pri izvršavanju zakonodavstva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(vidjeti </w:t>
      </w:r>
      <w:hyperlink r:id="rId9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sažetak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).</w:t>
      </w:r>
    </w:p>
    <w:p w:rsidR="00EB7437" w:rsidRPr="00EB7437" w:rsidRDefault="00EB7437" w:rsidP="00D64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Uredbom se pojedincima omogućava bolja kontrola nad njihovim osobnim podacima. Uredbom se jednako tako moderniziraju i objedinjuju pravila zahvaljujući kojima poduzeća mogu smanjiti formalnosti i birokracije te iskoristiti prednosti snažnijeg povjerenja potrošača.</w:t>
      </w:r>
    </w:p>
    <w:p w:rsidR="00EB7437" w:rsidRPr="00EB7437" w:rsidRDefault="00EB7437" w:rsidP="00D64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Njome se uspostavlja sustav potpuno neovisnih nadzornih tijela zaduženih za praćenje i provođenje poštovanja pravila o zaštiti podataka.</w:t>
      </w:r>
    </w:p>
    <w:p w:rsidR="00EB7437" w:rsidRPr="00EB7437" w:rsidRDefault="00EB7437" w:rsidP="00D64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Dio je </w:t>
      </w:r>
      <w:hyperlink r:id="rId10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reforme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hyperlink r:id="rId11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Europske unije u području zaštite podataka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koja obuhvaća još i direktivu o zaštiti podataka pri izvršavanju zakonodavstva i Uredbu (EU) </w:t>
      </w:r>
      <w:hyperlink r:id="rId12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2018/1725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 zaštiti pojedinaca u vezi s obradom osobnih podataka u institucijama, tijelima, uredima i agencijama EU-a (vidjeti </w:t>
      </w:r>
      <w:hyperlink r:id="rId13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sažetak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).</w:t>
      </w:r>
    </w:p>
    <w:p w:rsidR="00EB7437" w:rsidRPr="00EB7437" w:rsidRDefault="00EB7437" w:rsidP="00D64545">
      <w:p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KLJUČNE TOČKE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Prava pojedinaca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GDPR-om se ojačavaju postojeća prava, omogućuju nova prava i pojedincima omogućava bolja kontrola nad osobnim podatcima. Uključuje sljedeće:</w:t>
      </w:r>
    </w:p>
    <w:p w:rsidR="00EB7437" w:rsidRPr="00EB7437" w:rsidRDefault="00EB7437" w:rsidP="00D645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lakši pristup vlastitim podacima.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To uključuje pružanje više informacija o tome kako se ti podaci obrađuju i jamčenje da su te informacije dostupne na jasan i razumljiv način;</w:t>
      </w:r>
    </w:p>
    <w:p w:rsidR="00EB7437" w:rsidRPr="00EB7437" w:rsidRDefault="00EB7437" w:rsidP="00D645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novo pravo na prenosivost podataka.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Time se olakšava prijenos osobnih podataka između davatelja usluga;</w:t>
      </w:r>
    </w:p>
    <w:p w:rsidR="00EB7437" w:rsidRPr="00EB7437" w:rsidRDefault="00EB7437" w:rsidP="00D645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jasnije pravo na brisanje (</w:t>
      </w:r>
      <w:hyperlink r:id="rId14" w:history="1">
        <w:r w:rsidRPr="00EB7437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hr-HR"/>
          </w:rPr>
          <w:t>pravo na zaborav</w:t>
        </w:r>
      </w:hyperlink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).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Kada pojedinac više ne želi da se njegovi/njezini podaci obrađuju i ne postoji zakonski razlog za zadržavanje podataka, podaci se brišu;</w:t>
      </w:r>
    </w:p>
    <w:p w:rsidR="00EB7437" w:rsidRPr="00EB7437" w:rsidRDefault="00EB7437" w:rsidP="00D645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pravo pojedinca da zna kad dođe do povrede njegovih osobnih podataka.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Društva i organizacije moraju obavijestiti relevantno nadzorno tijelo za </w:t>
      </w:r>
      <w:hyperlink r:id="rId15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zaštitu podataka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te zahvaćene pojedince kada dođe do ozbiljnih povreda podataka.</w:t>
      </w:r>
    </w:p>
    <w:p w:rsidR="00AE2770" w:rsidRDefault="00AE2770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:rsidR="00AE2770" w:rsidRDefault="00AE2770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:rsidR="00EB7437" w:rsidRPr="00EB7437" w:rsidRDefault="00AE2770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lastRenderedPageBreak/>
        <w:t>P</w:t>
      </w:r>
      <w:r w:rsidR="00EB7437"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ravila za poduzeća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GDPR-om se sva društva koja posluju na </w:t>
      </w:r>
      <w:hyperlink r:id="rId16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unutarnjem tržištu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EU-a stavljaju u ravnopravan položaj, stvara se tehnološki neutralan pristup i potiče se inovativnost kroz niz koraka, uključujući sljedeće:</w:t>
      </w:r>
    </w:p>
    <w:p w:rsidR="00EB7437" w:rsidRPr="00EB7437" w:rsidRDefault="00EB7437" w:rsidP="00D645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jedinstven skup pravila na razini EU-a.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Jedinstveno pravo o zaštiti podataka na razini EU-a povećava pravnu sigurnost i smanjuje administrativno opterećenje;</w:t>
      </w:r>
    </w:p>
    <w:p w:rsidR="00EB7437" w:rsidRPr="00EB7437" w:rsidRDefault="00EB7437" w:rsidP="00D645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službenika za zaštitu podataka.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Osobu odgovornu za zaštitu podataka dužna su imenovati tijela javne vlasti i poduzeća koja opsežno obrađuju podatke ili čija je osnovna djelatnost obrada posebnih kategorija podataka kao što su podaci o zdravlju;</w:t>
      </w:r>
    </w:p>
    <w:p w:rsidR="00EB7437" w:rsidRPr="00EB7437" w:rsidRDefault="00EB7437" w:rsidP="00D645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objedinjenost.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Poduzeća trebaju komunicirati samo s jednim nadzornim tijelom (u </w:t>
      </w:r>
      <w:hyperlink r:id="rId17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državi članici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 EU-a u kojoj imaju glavni poslovni </w:t>
      </w:r>
      <w:proofErr w:type="spellStart"/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nastan</w:t>
      </w:r>
      <w:proofErr w:type="spellEnd"/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); relevantna nadzorna tijela surađuju u okviru </w:t>
      </w:r>
      <w:hyperlink r:id="rId18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Europskog odbora za zaštitu podataka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kad je riječ o prekograničnim slučajevima;</w:t>
      </w:r>
    </w:p>
    <w:p w:rsidR="00EB7437" w:rsidRPr="00EB7437" w:rsidRDefault="00EB7437" w:rsidP="00D645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pravila EU-a za društva koja nisu u državama članicama EU-a.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 Društva koja imaju poslovni </w:t>
      </w:r>
      <w:proofErr w:type="spellStart"/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nastan</w:t>
      </w:r>
      <w:proofErr w:type="spellEnd"/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izvan EU-a moraju primjenjivati ista pravila pri nuđenju usluga ili dobara ili pri nadzoru ponašanja pojedinaca na području EU-a;</w:t>
      </w:r>
    </w:p>
    <w:p w:rsidR="00EB7437" w:rsidRPr="00EB7437" w:rsidRDefault="00EB7437" w:rsidP="00D645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pravila koja pogoduju inovacijama.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Jamstvo da su u proizvode i usluge ugrađene zaštitne mjere od najranije faze razvoja (tehnička i integrirana zaštita podataka);</w:t>
      </w:r>
    </w:p>
    <w:p w:rsidR="00EB7437" w:rsidRPr="00EB7437" w:rsidRDefault="00EB7437" w:rsidP="00D645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tehnike koje štite privatnost.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Na primjer, potiču se </w:t>
      </w:r>
      <w:proofErr w:type="spellStart"/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pseudonimizacija</w:t>
      </w:r>
      <w:proofErr w:type="spellEnd"/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(kada se polja za identifikaciju u evidenciji osobnih podataka zamijene jednim ili više umjetnih identifikatora) i </w:t>
      </w: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enkripcija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(kada se podaci šifriraju na način da ih mogu pročitati samo ovlaštene osobe) kako bi se ograničila nametljivost obrade;</w:t>
      </w:r>
    </w:p>
    <w:p w:rsidR="00EB7437" w:rsidRPr="00EB7437" w:rsidRDefault="00EB7437" w:rsidP="00D645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uklanjanje obavijesti.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GDPR-om je odbačena većina obaveza u vezi s obavještavanjem te s time povezani troškovi. Jedan od njegovih ciljeva jest ukloniti prepreke koje utječu na slobodan protok osobnih podataka u EU-u. To poduzećima olakšava proširenje njihova poslovanja na jedinstvenom digitalnom tržištu;</w:t>
      </w:r>
    </w:p>
    <w:p w:rsidR="00EB7437" w:rsidRPr="00EB7437" w:rsidRDefault="00EB7437" w:rsidP="00D645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procjene učinka zaštite podataka.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Organizacije će morati provoditi procjene učinka u slučajevima kada obrada podataka može dovesti do visokog rizika za prava i slobode pojedinaca;</w:t>
      </w:r>
    </w:p>
    <w:p w:rsidR="00EB7437" w:rsidRPr="00EB7437" w:rsidRDefault="00EB7437" w:rsidP="00D645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vođenje evidencije.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hyperlink r:id="rId19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Mala i srednja poduzeća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ne trebaju voditi evidenciju o aktivnostima obrade, osim ako je obrada redovna ili je vjerojatno da će dovesti do rizika za prava i slobode osobe čiji se podaci obrađuju ili ako uključuje osjetljive kategorije podataka;</w:t>
      </w:r>
    </w:p>
    <w:p w:rsidR="00EB7437" w:rsidRPr="00EB7437" w:rsidRDefault="00EB7437" w:rsidP="00D645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Moderan skup alata za međunarodne prijenose podataka.</w:t>
      </w: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GDPR nudi različite instrumente za prijenos podataka izvan EU-a, uključujući odluke o primjerenosti koje donosi </w:t>
      </w:r>
      <w:hyperlink r:id="rId20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Europska komisija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kada zemlja izvan EU-a nudi odgovarajuću razinu zaštite, prethodno odobrene (standardne) ugovorne klauzule, obvezujuća korporativna pravila, kodekse ponašanja i certificiranje.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Preispitivanje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Europska komisija podnijela je </w:t>
      </w:r>
      <w:hyperlink r:id="rId21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izvješće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 ocjeni i preispitivanju Uredbe u lipnju 2020. Sljedeću evaluaciju potrebno je dostaviti 2024.</w:t>
      </w:r>
    </w:p>
    <w:p w:rsidR="00EB7437" w:rsidRPr="00EB7437" w:rsidRDefault="00EB7437" w:rsidP="00D64545">
      <w:p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OTKAD SE OVA UREDBA PRIMJENJUJE?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GDPR se primjenjuje od 25. svibnja 2018.</w:t>
      </w:r>
    </w:p>
    <w:p w:rsidR="00EB7437" w:rsidRPr="00EB7437" w:rsidRDefault="00EB7437" w:rsidP="00D64545">
      <w:p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lastRenderedPageBreak/>
        <w:t>POZADINA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više informacije vidjeti:</w:t>
      </w:r>
    </w:p>
    <w:p w:rsidR="00EB7437" w:rsidRPr="00EB7437" w:rsidRDefault="00EB7437" w:rsidP="00D645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hyperlink r:id="rId22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Reforma pravila EU-a o zaštiti podataka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(Europska komisija);</w:t>
      </w:r>
    </w:p>
    <w:p w:rsidR="00EB7437" w:rsidRPr="00EB7437" w:rsidRDefault="00EB7437" w:rsidP="00D645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hyperlink r:id="rId23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Pravila EU-a o zaštiti podataka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(Europska komisija);</w:t>
      </w:r>
    </w:p>
    <w:p w:rsidR="00EB7437" w:rsidRPr="00EB7437" w:rsidRDefault="00EB7437" w:rsidP="00D645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hyperlink r:id="rId24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Izvješće Komisije: pravila EU-a za zaštitu osobnih podataka osnažuju građane te su primjerena za digitalno doba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– priopćenje za tisak (Europska komisija);</w:t>
      </w:r>
    </w:p>
    <w:p w:rsidR="00EB7437" w:rsidRPr="00EB7437" w:rsidRDefault="00EB7437" w:rsidP="00D645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hyperlink r:id="rId25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Reforma zaštite podataka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– priopćenje za tisak (Europska komisija);</w:t>
      </w:r>
    </w:p>
    <w:p w:rsidR="00EB7437" w:rsidRPr="00EB7437" w:rsidRDefault="00EB7437" w:rsidP="00D645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hyperlink r:id="rId26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Zaštita osobnih podataka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(Europska komisija).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epidemije bolesti COVID-19 i uvođenja mjera za suočavanje s krizom Europska komisija donijela je:</w:t>
      </w:r>
    </w:p>
    <w:p w:rsidR="00EB7437" w:rsidRPr="00EB7437" w:rsidRDefault="00EB7437" w:rsidP="00D645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hyperlink r:id="rId27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 xml:space="preserve">Preporuku Komisije (EU) 2020/518 od 8. travnja 2020. o zajedničkom </w:t>
        </w:r>
        <w:proofErr w:type="spellStart"/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Unijinu</w:t>
        </w:r>
        <w:proofErr w:type="spellEnd"/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 xml:space="preserve"> paketu mjera za primjenu tehnologije i podataka radi suzbijanja i prevladavanja krize prouzročene bolešću COVID-19, posebno u vezi s mobilnim aplikacijama i upotrebom </w:t>
        </w:r>
        <w:proofErr w:type="spellStart"/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anonimiziranih</w:t>
        </w:r>
        <w:proofErr w:type="spellEnd"/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 xml:space="preserve"> podataka o mobilnosti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EB7437" w:rsidRPr="00EB7437" w:rsidRDefault="00EB7437" w:rsidP="00D64545">
      <w:p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GLAVNI DOKUMENT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Uredba (EU) </w:t>
      </w:r>
      <w:hyperlink r:id="rId28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2016/679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Europskog parlamenta i Vijeća od 27. travnja 2016. o zaštiti pojedinaca u vezi s obradom osobnih podataka i o slobodnom kretanju takvih podataka te o stavljanju izvan snage Direktive 95/46/EZ (Opća uredba o zaštiti podataka) (SL L 119, 4.5.2016., str. 1.–88.).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Sukcesivne izmjene i dopune Uredbe (EU) 2016/679 uključene su u izvorni tekst. Ovaj </w:t>
      </w:r>
      <w:hyperlink r:id="rId29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pročišćeni tekst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namijenjen je isključivo dokumentiranju.</w:t>
      </w:r>
    </w:p>
    <w:p w:rsidR="00EB7437" w:rsidRPr="00EB7437" w:rsidRDefault="00EB7437" w:rsidP="00D64545">
      <w:p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r-HR"/>
        </w:rPr>
        <w:t>VEZANI DOKUMENTI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Direktiva (EU) </w:t>
      </w:r>
      <w:hyperlink r:id="rId30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2016/680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Europskog parlamenta i Vijeća od 27. travnja 2016. o zaštiti pojedinaca u vezi s obradom osobnih podataka od strane nadležnih tijela u svrhe sprečavanja, istrage, otkrivanja ili progona kaznenih djela ili izvršavanja kaznenih sankcija i o slobodnom kretanju takvih podataka te o stavljanju izvan snage Okvirne odluke Vijeća 2008/977/PUP (SL L 119, 4.5.2016., str. 89.–131.).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Vidjeti </w:t>
      </w:r>
      <w:hyperlink r:id="rId31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pročišćeni tekst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Uredba (EU) </w:t>
      </w:r>
      <w:hyperlink r:id="rId32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2018/1725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Europskog parlamenta i Vijeća od 23. listopada 2018. o zaštiti pojedinaca u vezi s obradom osobnih podataka u institucijama, tijelima, uredima i agencijama Unije i o slobodnom kretanju takvih podataka te o stavljanju izvan snage Uredbe (EZ) br. 45/2001 i Odluke br. 1247/2002/EZ (SL L 295, 21.11.2018., str. 39.–98.).</w:t>
      </w:r>
    </w:p>
    <w:p w:rsidR="00EB7437" w:rsidRPr="00EB7437" w:rsidRDefault="00EB7437" w:rsidP="00D64545">
      <w:p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Direktiva </w:t>
      </w:r>
      <w:hyperlink r:id="rId33" w:history="1">
        <w:r w:rsidRPr="00EB7437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hr-HR"/>
          </w:rPr>
          <w:t>2002/58/EZ</w:t>
        </w:r>
      </w:hyperlink>
      <w:r w:rsidRPr="00EB743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Europskog parlamenta i Vijeća od 12. srpnja 2002. o obradi osobnih podataka i zaštiti privatnosti u području elektroničkih komunikacija (Direktiva o privatnosti i elektroničkim komunikacijama) (SL L 201, 31.7.2002., str. 37.–47.).</w:t>
      </w:r>
    </w:p>
    <w:p w:rsidR="00887327" w:rsidRPr="00D64545" w:rsidRDefault="00887327" w:rsidP="00D645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7327" w:rsidRPr="00D64545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DA" w:rsidRDefault="004D00DA" w:rsidP="00D64545">
      <w:pPr>
        <w:spacing w:after="0" w:line="240" w:lineRule="auto"/>
      </w:pPr>
      <w:r>
        <w:separator/>
      </w:r>
    </w:p>
  </w:endnote>
  <w:endnote w:type="continuationSeparator" w:id="0">
    <w:p w:rsidR="004D00DA" w:rsidRDefault="004D00DA" w:rsidP="00D6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501576"/>
      <w:docPartObj>
        <w:docPartGallery w:val="Page Numbers (Bottom of Page)"/>
        <w:docPartUnique/>
      </w:docPartObj>
    </w:sdtPr>
    <w:sdtContent>
      <w:p w:rsidR="00D64545" w:rsidRDefault="00D645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70">
          <w:rPr>
            <w:noProof/>
          </w:rPr>
          <w:t>3</w:t>
        </w:r>
        <w:r>
          <w:fldChar w:fldCharType="end"/>
        </w:r>
      </w:p>
    </w:sdtContent>
  </w:sdt>
  <w:p w:rsidR="00D64545" w:rsidRDefault="00D645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DA" w:rsidRDefault="004D00DA" w:rsidP="00D64545">
      <w:pPr>
        <w:spacing w:after="0" w:line="240" w:lineRule="auto"/>
      </w:pPr>
      <w:r>
        <w:separator/>
      </w:r>
    </w:p>
  </w:footnote>
  <w:footnote w:type="continuationSeparator" w:id="0">
    <w:p w:rsidR="004D00DA" w:rsidRDefault="004D00DA" w:rsidP="00D6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0EDB"/>
    <w:multiLevelType w:val="multilevel"/>
    <w:tmpl w:val="5310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8066EA"/>
    <w:multiLevelType w:val="multilevel"/>
    <w:tmpl w:val="C820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B15851"/>
    <w:multiLevelType w:val="multilevel"/>
    <w:tmpl w:val="D73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6C5E40"/>
    <w:multiLevelType w:val="multilevel"/>
    <w:tmpl w:val="1CD0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EC7D49"/>
    <w:multiLevelType w:val="multilevel"/>
    <w:tmpl w:val="51EE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37"/>
    <w:rsid w:val="004D00DA"/>
    <w:rsid w:val="00887327"/>
    <w:rsid w:val="00AE2770"/>
    <w:rsid w:val="00D64545"/>
    <w:rsid w:val="00E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A1B9"/>
  <w15:chartTrackingRefBased/>
  <w15:docId w15:val="{38E7C2CB-E56F-430B-918C-CA14CEF3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545"/>
  </w:style>
  <w:style w:type="paragraph" w:styleId="Podnoje">
    <w:name w:val="footer"/>
    <w:basedOn w:val="Normal"/>
    <w:link w:val="PodnojeChar"/>
    <w:uiPriority w:val="99"/>
    <w:unhideWhenUsed/>
    <w:rsid w:val="00D6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legal-content/HR/TXT/?uri=LEGISSUM:4374552" TargetMode="External"/><Relationship Id="rId18" Type="http://schemas.openxmlformats.org/officeDocument/2006/relationships/hyperlink" Target="http://edpb.europa.eu/edpb_hr" TargetMode="External"/><Relationship Id="rId26" Type="http://schemas.openxmlformats.org/officeDocument/2006/relationships/hyperlink" Target="http://ec.europa.eu/info/aid-development-cooperation-fundamental-rights/your-rights-eu/know-your-rights/freedoms/protection-personal-data_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-lex.europa.eu/legal-content/HR/AUTO/?uri=celex:52020DC0264" TargetMode="External"/><Relationship Id="rId34" Type="http://schemas.openxmlformats.org/officeDocument/2006/relationships/footer" Target="footer1.xml"/><Relationship Id="rId7" Type="http://schemas.openxmlformats.org/officeDocument/2006/relationships/hyperlink" Target="https://eur-lex.europa.eu/legal-content/HR/AUTO/?uri=celex:32016R0679" TargetMode="External"/><Relationship Id="rId12" Type="http://schemas.openxmlformats.org/officeDocument/2006/relationships/hyperlink" Target="http://eur-lex.europa.eu/legal-content/HR/TXT/?uri=celex:32018R1725" TargetMode="External"/><Relationship Id="rId17" Type="http://schemas.openxmlformats.org/officeDocument/2006/relationships/hyperlink" Target="http://eur-lex.europa.eu/summary/glossary/member_states.html" TargetMode="External"/><Relationship Id="rId25" Type="http://schemas.openxmlformats.org/officeDocument/2006/relationships/hyperlink" Target="http://europa.eu/rapid/press-release_MEMO-15-6385_hr.htm" TargetMode="External"/><Relationship Id="rId33" Type="http://schemas.openxmlformats.org/officeDocument/2006/relationships/hyperlink" Target="https://eur-lex.europa.eu/legal-content/HR/AUTO/?uri=celex:32002L0058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summary/glossary/internal_market.html" TargetMode="External"/><Relationship Id="rId20" Type="http://schemas.openxmlformats.org/officeDocument/2006/relationships/hyperlink" Target="http://eur-lex.europa.eu/summary/glossary/european_commission.html" TargetMode="External"/><Relationship Id="rId29" Type="http://schemas.openxmlformats.org/officeDocument/2006/relationships/hyperlink" Target="https://eur-lex.europa.eu/legal-content/HR/AUTO/?uri=celex:02016R0679-201605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justice/data-protection/reform/index_hr.htm" TargetMode="External"/><Relationship Id="rId24" Type="http://schemas.openxmlformats.org/officeDocument/2006/relationships/hyperlink" Target="http://ec.europa.eu/commission/presscorner/detail/en/ip_20_1163" TargetMode="External"/><Relationship Id="rId32" Type="http://schemas.openxmlformats.org/officeDocument/2006/relationships/hyperlink" Target="https://eur-lex.europa.eu/legal-content/HR/AUTO/?uri=celex:32018R17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-lex.europa.eu/summary/glossary/data_protection.html" TargetMode="External"/><Relationship Id="rId23" Type="http://schemas.openxmlformats.org/officeDocument/2006/relationships/hyperlink" Target="http://ec.europa.eu/info/law/law-topic/data-protection/eu-data-protection-rules_hr" TargetMode="External"/><Relationship Id="rId28" Type="http://schemas.openxmlformats.org/officeDocument/2006/relationships/hyperlink" Target="https://eur-lex.europa.eu/legal-content/HR/AUTO/?uri=celex:32016R06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ur-lex.europa.eu/summary/glossary/eu_union.html" TargetMode="External"/><Relationship Id="rId19" Type="http://schemas.openxmlformats.org/officeDocument/2006/relationships/hyperlink" Target="http://eur-lex.europa.eu/summary/glossary/sme.html" TargetMode="External"/><Relationship Id="rId31" Type="http://schemas.openxmlformats.org/officeDocument/2006/relationships/hyperlink" Target="https://eur-lex.europa.eu/legal-content/HR/AUTO/?uri=celex:02016L0680-20160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HR/TXT/?uri=LEGISSUM:310401_3" TargetMode="External"/><Relationship Id="rId14" Type="http://schemas.openxmlformats.org/officeDocument/2006/relationships/hyperlink" Target="http://eur-lex.europa.eu/legal-content/HR/TXT/?uri=LEGISSUM:310401_1" TargetMode="External"/><Relationship Id="rId22" Type="http://schemas.openxmlformats.org/officeDocument/2006/relationships/hyperlink" Target="http://ec.europa.eu/info/law/law-topic/data-protection/reform_hr" TargetMode="External"/><Relationship Id="rId27" Type="http://schemas.openxmlformats.org/officeDocument/2006/relationships/hyperlink" Target="http://eur-lex.europa.eu/legal-content/HR/TXT/?uri=celex:32020H0518" TargetMode="External"/><Relationship Id="rId30" Type="http://schemas.openxmlformats.org/officeDocument/2006/relationships/hyperlink" Target="http://eur-lex.europa.eu/legal-content/HR/TXT/?uri=celex%3A32016L068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ur-lex.europa.eu/legal-content/HR/AUTO/?uri=celex:32016L06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Jagatić-Petrinec</dc:creator>
  <cp:keywords/>
  <dc:description/>
  <cp:lastModifiedBy>Ana Jagatić-Petrinec</cp:lastModifiedBy>
  <cp:revision>3</cp:revision>
  <dcterms:created xsi:type="dcterms:W3CDTF">2022-10-21T10:54:00Z</dcterms:created>
  <dcterms:modified xsi:type="dcterms:W3CDTF">2022-10-21T10:57:00Z</dcterms:modified>
</cp:coreProperties>
</file>